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79" w:rsidRDefault="00EE697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8" w:type="dxa"/>
        <w:tblInd w:w="0" w:type="dxa"/>
        <w:tblBorders>
          <w:insideH w:val="single" w:sz="4" w:space="0" w:color="000000"/>
        </w:tblBorders>
        <w:tblLayout w:type="fixed"/>
        <w:tblLook w:val="0400"/>
      </w:tblPr>
      <w:tblGrid>
        <w:gridCol w:w="9638"/>
      </w:tblGrid>
      <w:tr w:rsidR="00EE6979">
        <w:tc>
          <w:tcPr>
            <w:tcW w:w="9638" w:type="dxa"/>
          </w:tcPr>
          <w:p w:rsidR="00EE6979" w:rsidRDefault="00EE6979">
            <w:pPr>
              <w:pStyle w:val="Normale1"/>
              <w:jc w:val="center"/>
              <w:rPr>
                <w:rFonts w:ascii="Noto Sans Symbols" w:eastAsia="Noto Sans Symbols" w:hAnsi="Noto Sans Symbols" w:cs="Noto Sans Symbols"/>
                <w:b/>
              </w:rPr>
            </w:pPr>
          </w:p>
          <w:p w:rsidR="00EE6979" w:rsidRDefault="00006F6D">
            <w:pPr>
              <w:pStyle w:val="Normale1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noProof/>
              </w:rPr>
              <w:drawing>
                <wp:inline distT="0" distB="0" distL="0" distR="0">
                  <wp:extent cx="880110" cy="88836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888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6979" w:rsidRDefault="00EE6979">
            <w:pPr>
              <w:pStyle w:val="Normale1"/>
              <w:jc w:val="center"/>
              <w:rPr>
                <w:rFonts w:ascii="Arial" w:eastAsia="Arial" w:hAnsi="Arial" w:cs="Arial"/>
              </w:rPr>
            </w:pPr>
          </w:p>
          <w:p w:rsidR="00EE6979" w:rsidRDefault="00006F6D">
            <w:pPr>
              <w:pStyle w:val="Normale1"/>
              <w:jc w:val="center"/>
              <w:rPr>
                <w:rFonts w:ascii="Lustria" w:eastAsia="Lustria" w:hAnsi="Lustria" w:cs="Lustria"/>
                <w:b/>
                <w:sz w:val="16"/>
                <w:szCs w:val="16"/>
              </w:rPr>
            </w:pPr>
            <w:r>
              <w:rPr>
                <w:rFonts w:ascii="Lustria" w:eastAsia="Lustria" w:hAnsi="Lustria" w:cs="Lustria"/>
                <w:b/>
              </w:rPr>
              <w:t>Comune di Bomporto</w:t>
            </w:r>
          </w:p>
        </w:tc>
      </w:tr>
    </w:tbl>
    <w:p w:rsidR="00EE6979" w:rsidRDefault="00EE6979">
      <w:pPr>
        <w:pStyle w:val="Normale1"/>
        <w:jc w:val="center"/>
        <w:rPr>
          <w:rFonts w:ascii="Arial" w:eastAsia="Arial" w:hAnsi="Arial" w:cs="Arial"/>
        </w:rPr>
      </w:pPr>
    </w:p>
    <w:p w:rsidR="00EE6979" w:rsidRPr="000E1A45" w:rsidRDefault="00EE6979">
      <w:pPr>
        <w:pStyle w:val="Normale1"/>
        <w:rPr>
          <w:rFonts w:ascii="Californian FB" w:eastAsia="Lustria" w:hAnsi="Californian FB" w:cs="Lustria"/>
        </w:rPr>
      </w:pPr>
    </w:p>
    <w:tbl>
      <w:tblPr>
        <w:tblStyle w:val="a0"/>
        <w:tblW w:w="9638" w:type="dxa"/>
        <w:tblInd w:w="99" w:type="dxa"/>
        <w:tblLayout w:type="fixed"/>
        <w:tblLook w:val="0000"/>
      </w:tblPr>
      <w:tblGrid>
        <w:gridCol w:w="4786"/>
        <w:gridCol w:w="4852"/>
      </w:tblGrid>
      <w:tr w:rsidR="00EE6979" w:rsidRPr="000E1A45">
        <w:tc>
          <w:tcPr>
            <w:tcW w:w="4786" w:type="dxa"/>
            <w:shd w:val="clear" w:color="auto" w:fill="auto"/>
          </w:tcPr>
          <w:p w:rsidR="00EE6979" w:rsidRPr="000E1A45" w:rsidRDefault="00EE6979">
            <w:pPr>
              <w:pStyle w:val="Normale1"/>
              <w:rPr>
                <w:rFonts w:ascii="Californian FB" w:eastAsia="Lustria" w:hAnsi="Californian FB" w:cs="Lustria"/>
              </w:rPr>
            </w:pPr>
          </w:p>
        </w:tc>
        <w:tc>
          <w:tcPr>
            <w:tcW w:w="4852" w:type="dxa"/>
            <w:shd w:val="clear" w:color="auto" w:fill="auto"/>
          </w:tcPr>
          <w:p w:rsidR="00EE6979" w:rsidRPr="000E1A45" w:rsidRDefault="00006F6D">
            <w:pPr>
              <w:pStyle w:val="Normale1"/>
              <w:jc w:val="right"/>
              <w:rPr>
                <w:rFonts w:ascii="Californian FB" w:eastAsia="Lustria" w:hAnsi="Californian FB" w:cs="Lustria"/>
                <w:i/>
              </w:rPr>
            </w:pPr>
            <w:r w:rsidRPr="000E1A45">
              <w:rPr>
                <w:rFonts w:ascii="Californian FB" w:eastAsia="Lustria" w:hAnsi="Californian FB" w:cs="Lustria"/>
              </w:rPr>
              <w:t xml:space="preserve">Bomporto, </w:t>
            </w:r>
            <w:r w:rsidR="007041CC">
              <w:rPr>
                <w:rFonts w:ascii="Californian FB" w:eastAsia="Lustria" w:hAnsi="Californian FB" w:cs="Lustria"/>
              </w:rPr>
              <w:t>25</w:t>
            </w:r>
            <w:r w:rsidRPr="000E1A45">
              <w:rPr>
                <w:rFonts w:ascii="Californian FB" w:eastAsia="Lustria" w:hAnsi="Californian FB" w:cs="Lustria"/>
              </w:rPr>
              <w:t xml:space="preserve"> maggio 2023</w:t>
            </w:r>
          </w:p>
          <w:p w:rsidR="00EE6979" w:rsidRPr="000E1A45" w:rsidRDefault="007041CC">
            <w:pPr>
              <w:pStyle w:val="Normale1"/>
              <w:jc w:val="right"/>
              <w:rPr>
                <w:rFonts w:ascii="Californian FB" w:eastAsia="Lustria" w:hAnsi="Californian FB" w:cs="Lustria"/>
              </w:rPr>
            </w:pPr>
            <w:r>
              <w:rPr>
                <w:rFonts w:ascii="Californian FB" w:eastAsia="Lustria" w:hAnsi="Californian FB" w:cs="Lustria"/>
                <w:i/>
              </w:rPr>
              <w:t>Comunicato stampa 28</w:t>
            </w:r>
            <w:r w:rsidR="00006F6D" w:rsidRPr="000E1A45">
              <w:rPr>
                <w:rFonts w:ascii="Californian FB" w:eastAsia="Lustria" w:hAnsi="Californian FB" w:cs="Lustria"/>
                <w:i/>
              </w:rPr>
              <w:t>/2023</w:t>
            </w:r>
          </w:p>
        </w:tc>
      </w:tr>
    </w:tbl>
    <w:p w:rsidR="00EE6979" w:rsidRPr="000E1A45" w:rsidRDefault="00EE6979">
      <w:pPr>
        <w:pStyle w:val="Normale1"/>
        <w:spacing w:after="57"/>
        <w:rPr>
          <w:rFonts w:ascii="Californian FB" w:eastAsia="Lustria" w:hAnsi="Californian FB" w:cs="Lustria"/>
        </w:rPr>
      </w:pPr>
    </w:p>
    <w:p w:rsidR="00EE6979" w:rsidRPr="000E1A45" w:rsidRDefault="00EE6979">
      <w:pPr>
        <w:pStyle w:val="Normale1"/>
        <w:spacing w:after="57"/>
        <w:rPr>
          <w:rFonts w:ascii="Californian FB" w:eastAsia="Lustria" w:hAnsi="Californian FB" w:cs="Lustria"/>
        </w:rPr>
      </w:pPr>
    </w:p>
    <w:p w:rsidR="00EE6979" w:rsidRPr="000E1A45" w:rsidRDefault="00006F6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fornian FB" w:eastAsia="Lustria" w:hAnsi="Californian FB" w:cs="Lustria"/>
          <w:b/>
          <w:color w:val="000000"/>
          <w:sz w:val="48"/>
          <w:szCs w:val="48"/>
        </w:rPr>
      </w:pPr>
      <w:r w:rsidRPr="000E1A45">
        <w:rPr>
          <w:rFonts w:ascii="Californian FB" w:eastAsia="Lustria" w:hAnsi="Californian FB" w:cs="Lustria"/>
          <w:b/>
          <w:color w:val="000000"/>
          <w:sz w:val="56"/>
          <w:szCs w:val="56"/>
        </w:rPr>
        <w:t xml:space="preserve">Bomporto, giugno </w:t>
      </w:r>
      <w:r w:rsidR="000E1A45" w:rsidRPr="000E1A45">
        <w:rPr>
          <w:rFonts w:ascii="Californian FB" w:eastAsia="Lustria" w:hAnsi="Californian FB" w:cs="Lustria"/>
          <w:b/>
          <w:color w:val="000000"/>
          <w:sz w:val="56"/>
          <w:szCs w:val="56"/>
        </w:rPr>
        <w:t>frizzante</w:t>
      </w:r>
      <w:r w:rsidR="000E1A45" w:rsidRPr="000E1A45">
        <w:rPr>
          <w:rFonts w:ascii="Californian FB" w:eastAsia="Lustria" w:hAnsi="Californian FB" w:cs="Lustria"/>
          <w:b/>
          <w:color w:val="000000"/>
          <w:sz w:val="56"/>
          <w:szCs w:val="56"/>
        </w:rPr>
        <w:br/>
        <w:t xml:space="preserve">con </w:t>
      </w:r>
      <w:r w:rsidRPr="000E1A45">
        <w:rPr>
          <w:rFonts w:ascii="Californian FB" w:eastAsia="Lustria" w:hAnsi="Californian FB" w:cs="Lustria"/>
          <w:b/>
          <w:color w:val="000000"/>
          <w:sz w:val="56"/>
          <w:szCs w:val="56"/>
        </w:rPr>
        <w:t>“Rosso Rubino”</w:t>
      </w:r>
    </w:p>
    <w:p w:rsidR="00EE6979" w:rsidRPr="000E1A45" w:rsidRDefault="000E1A45">
      <w:pPr>
        <w:pStyle w:val="Normale1"/>
        <w:spacing w:after="57"/>
        <w:jc w:val="center"/>
        <w:rPr>
          <w:rFonts w:ascii="Californian FB" w:eastAsia="Lustria" w:hAnsi="Californian FB" w:cs="Lustria"/>
          <w:b/>
          <w:color w:val="000000"/>
          <w:sz w:val="28"/>
          <w:szCs w:val="28"/>
        </w:rPr>
      </w:pPr>
      <w:r w:rsidRPr="000E1A45">
        <w:rPr>
          <w:rFonts w:ascii="Californian FB" w:eastAsia="Lustria" w:hAnsi="Californian FB" w:cs="Lustria"/>
          <w:b/>
          <w:color w:val="000000"/>
          <w:sz w:val="28"/>
          <w:szCs w:val="28"/>
        </w:rPr>
        <w:t>Dal 1° giugno t</w:t>
      </w:r>
      <w:r w:rsidR="00006F6D" w:rsidRPr="000E1A45">
        <w:rPr>
          <w:rFonts w:ascii="Californian FB" w:eastAsia="Lustria" w:hAnsi="Californian FB" w:cs="Lustria"/>
          <w:b/>
          <w:color w:val="000000"/>
          <w:sz w:val="28"/>
          <w:szCs w:val="28"/>
        </w:rPr>
        <w:t>orna la rassegna che celebra il Lambrusco</w:t>
      </w:r>
    </w:p>
    <w:p w:rsidR="000E1A45" w:rsidRPr="000E1A45" w:rsidRDefault="000E1A45">
      <w:pPr>
        <w:pStyle w:val="Normale1"/>
        <w:spacing w:after="57"/>
        <w:rPr>
          <w:rFonts w:ascii="Californian FB" w:eastAsia="Lustria" w:hAnsi="Californian FB" w:cs="Lustria"/>
          <w:color w:val="000000"/>
        </w:rPr>
      </w:pPr>
      <w:bookmarkStart w:id="0" w:name="_gjdgxs" w:colFirst="0" w:colLast="0"/>
      <w:bookmarkEnd w:id="0"/>
    </w:p>
    <w:p w:rsidR="000E1A45" w:rsidRPr="000E1A45" w:rsidRDefault="000E1A45" w:rsidP="000E1A45">
      <w:pPr>
        <w:pStyle w:val="Normale1"/>
        <w:spacing w:after="120"/>
        <w:rPr>
          <w:rFonts w:ascii="Californian FB" w:eastAsia="Lustria" w:hAnsi="Californian FB" w:cs="Lustria"/>
          <w:color w:val="000000"/>
        </w:rPr>
      </w:pPr>
    </w:p>
    <w:p w:rsidR="000E1A45" w:rsidRDefault="00006F6D" w:rsidP="000E1A45">
      <w:pPr>
        <w:pStyle w:val="Normale1"/>
        <w:spacing w:after="120"/>
        <w:rPr>
          <w:rFonts w:ascii="Californian FB" w:eastAsia="Lustria" w:hAnsi="Californian FB" w:cs="Lustria"/>
          <w:color w:val="000000"/>
        </w:rPr>
      </w:pPr>
      <w:r w:rsidRPr="000E1A45">
        <w:rPr>
          <w:rFonts w:ascii="Californian FB" w:eastAsia="Lustria" w:hAnsi="Californian FB" w:cs="Lustria"/>
          <w:color w:val="000000"/>
        </w:rPr>
        <w:t>Il vino del territorio e la tradizionale gastronomia modenese. Sono questi gli ingredienti di “Rosso Rubino”, appuntamento che accompagna annualmente Bomporto e che quest’anno torna nel mese di giugno per celebrare il Lambrusco, la più nota delle eccellenze del territorio bomportese.</w:t>
      </w:r>
      <w:r w:rsidR="004F0E57">
        <w:rPr>
          <w:rFonts w:ascii="Californian FB" w:eastAsia="Lustria" w:hAnsi="Californian FB" w:cs="Lustria"/>
          <w:color w:val="000000"/>
        </w:rPr>
        <w:t xml:space="preserve">Sei </w:t>
      </w:r>
      <w:r w:rsidR="000E1A45">
        <w:rPr>
          <w:rFonts w:ascii="Californian FB" w:eastAsia="Lustria" w:hAnsi="Californian FB" w:cs="Lustria"/>
          <w:color w:val="000000"/>
        </w:rPr>
        <w:t xml:space="preserve">serate organizzate in altrettante cantine della zona per conoscere meglio il vino e chi lo produce, tra degustazioni e abbinamenti con le </w:t>
      </w:r>
      <w:r w:rsidRPr="000E1A45">
        <w:rPr>
          <w:rFonts w:ascii="Californian FB" w:eastAsia="Lustria" w:hAnsi="Californian FB" w:cs="Lustria"/>
          <w:color w:val="000000"/>
        </w:rPr>
        <w:t>specialità gastronomiche</w:t>
      </w:r>
      <w:r w:rsidR="000E1A45">
        <w:rPr>
          <w:rFonts w:ascii="Californian FB" w:eastAsia="Lustria" w:hAnsi="Californian FB" w:cs="Lustria"/>
          <w:color w:val="000000"/>
        </w:rPr>
        <w:t xml:space="preserve"> locali</w:t>
      </w:r>
      <w:r w:rsidR="004F0E57">
        <w:rPr>
          <w:rFonts w:ascii="Californian FB" w:eastAsia="Lustria" w:hAnsi="Californian FB" w:cs="Lustria"/>
          <w:color w:val="000000"/>
        </w:rPr>
        <w:t xml:space="preserve">, per chiudere in </w:t>
      </w:r>
      <w:r w:rsidR="008D2DE7">
        <w:rPr>
          <w:rFonts w:ascii="Californian FB" w:eastAsia="Lustria" w:hAnsi="Californian FB" w:cs="Lustria"/>
          <w:color w:val="000000"/>
        </w:rPr>
        <w:t xml:space="preserve">bellezza </w:t>
      </w:r>
      <w:r w:rsidR="004F0E57">
        <w:rPr>
          <w:rFonts w:ascii="Californian FB" w:eastAsia="Lustria" w:hAnsi="Californian FB" w:cs="Lustria"/>
          <w:color w:val="000000"/>
        </w:rPr>
        <w:t>con la serata finale nell</w:t>
      </w:r>
      <w:r w:rsidR="00B24917">
        <w:rPr>
          <w:rFonts w:ascii="Californian FB" w:eastAsia="Lustria" w:hAnsi="Californian FB" w:cs="Lustria"/>
          <w:color w:val="000000"/>
        </w:rPr>
        <w:t>a sede della Monari e Federzoni a Solara</w:t>
      </w:r>
      <w:r w:rsidR="004F0E57">
        <w:rPr>
          <w:rFonts w:ascii="Californian FB" w:eastAsia="Lustria" w:hAnsi="Californian FB" w:cs="Lustria"/>
          <w:color w:val="000000"/>
        </w:rPr>
        <w:t xml:space="preserve">. </w:t>
      </w:r>
    </w:p>
    <w:p w:rsidR="004F0E57" w:rsidRPr="000E1A45" w:rsidRDefault="00BF3FB0" w:rsidP="004F0E57">
      <w:pPr>
        <w:pStyle w:val="Normale1"/>
        <w:spacing w:after="120"/>
        <w:rPr>
          <w:rFonts w:ascii="Californian FB" w:eastAsia="Lustria" w:hAnsi="Californian FB" w:cs="Lustria"/>
          <w:color w:val="000000"/>
        </w:rPr>
      </w:pPr>
      <w:r>
        <w:rPr>
          <w:rFonts w:ascii="Californian FB" w:eastAsia="Lustria" w:hAnsi="Californian FB" w:cs="Lustria"/>
          <w:color w:val="000000"/>
        </w:rPr>
        <w:t>Un itinerario nelle terre del Sorbara, accompagnato da spettacoli, intrattenimenti musicali, food truck, visite guidate e tanto altro: l</w:t>
      </w:r>
      <w:r w:rsidR="00B761FC">
        <w:rPr>
          <w:rFonts w:ascii="Californian FB" w:eastAsia="Lustria" w:hAnsi="Californian FB" w:cs="Lustria"/>
          <w:color w:val="000000"/>
        </w:rPr>
        <w:t>’edizione numero 16 dell’</w:t>
      </w:r>
      <w:r w:rsidR="004F0E57" w:rsidRPr="000E1A45">
        <w:rPr>
          <w:rFonts w:ascii="Californian FB" w:eastAsia="Lustria" w:hAnsi="Californian FB" w:cs="Lustria"/>
          <w:color w:val="000000"/>
        </w:rPr>
        <w:t>iniziativa, promossa dal Comune di Bomporto, torna ad essere l’occasione privilegiata per valorizzare il Lambrusco, i produttori e la str</w:t>
      </w:r>
      <w:r w:rsidR="004F0E57">
        <w:rPr>
          <w:rFonts w:ascii="Californian FB" w:eastAsia="Lustria" w:hAnsi="Californian FB" w:cs="Lustria"/>
          <w:color w:val="000000"/>
        </w:rPr>
        <w:t>aordinaria gastronomia modenese, come sottolinea la Sindaca di Bomporto Tania Meschiari: “</w:t>
      </w:r>
      <w:r w:rsidR="00736918">
        <w:rPr>
          <w:rFonts w:ascii="Californian FB" w:eastAsia="Lustria" w:hAnsi="Californian FB" w:cs="Lustria"/>
          <w:color w:val="000000"/>
        </w:rPr>
        <w:t xml:space="preserve">Un vero e proprio Festival per diffondere la cultura del Lambrusco e celebrare un prodotto sempre più apprezzato: questo è Rosso Rubino, che quest’anno torna nella sua </w:t>
      </w:r>
      <w:r w:rsidR="00285D81">
        <w:rPr>
          <w:rFonts w:ascii="Californian FB" w:eastAsia="Lustria" w:hAnsi="Californian FB" w:cs="Lustria"/>
          <w:color w:val="000000"/>
        </w:rPr>
        <w:t>formula</w:t>
      </w:r>
      <w:r w:rsidR="00736918">
        <w:rPr>
          <w:rFonts w:ascii="Californian FB" w:eastAsia="Lustria" w:hAnsi="Californian FB" w:cs="Lustria"/>
          <w:color w:val="000000"/>
        </w:rPr>
        <w:t xml:space="preserve"> tradizionale</w:t>
      </w:r>
      <w:r w:rsidR="00F90391">
        <w:rPr>
          <w:rFonts w:ascii="Californian FB" w:eastAsia="Lustria" w:hAnsi="Californian FB" w:cs="Lustria"/>
          <w:color w:val="000000"/>
        </w:rPr>
        <w:t>, grazie al coinvolgimento delle cantine</w:t>
      </w:r>
      <w:r w:rsidR="00736918">
        <w:rPr>
          <w:rFonts w:ascii="Californian FB" w:eastAsia="Lustria" w:hAnsi="Californian FB" w:cs="Lustria"/>
          <w:color w:val="000000"/>
        </w:rPr>
        <w:t>. La rassegna vuole essere anche una vetrina per i produttori locali, un omaggio al loro impegno, alla loro competenza e alla passione con cui portano avanti l’</w:t>
      </w:r>
      <w:r w:rsidR="00F90391">
        <w:rPr>
          <w:rFonts w:ascii="Californian FB" w:eastAsia="Lustria" w:hAnsi="Californian FB" w:cs="Lustria"/>
          <w:color w:val="000000"/>
        </w:rPr>
        <w:t xml:space="preserve">attività, come sarà possibile scoprire partecipando alle visite e alle degustazioni”. </w:t>
      </w:r>
      <w:r>
        <w:rPr>
          <w:rFonts w:ascii="Californian FB" w:eastAsia="Lustria" w:hAnsi="Californian FB" w:cs="Lustria"/>
          <w:color w:val="000000"/>
        </w:rPr>
        <w:t>Aggiunge la Vice Sindaca Ilaria Malavasi: “</w:t>
      </w:r>
      <w:r w:rsidR="00285D81">
        <w:rPr>
          <w:rFonts w:ascii="Californian FB" w:eastAsia="Lustria" w:hAnsi="Californian FB" w:cs="Lustria"/>
          <w:color w:val="000000"/>
        </w:rPr>
        <w:t xml:space="preserve">Questa è una manifestazione a cui teniamo moltissimo e l’adesione massiccia delle cantine è per noi motivo di grande soddisfazione. Quest’anno torniamo alle origini, senza limitazioni e numeri contingentati, con appuntamenti da non perdere </w:t>
      </w:r>
      <w:r w:rsidR="00C91EB7">
        <w:rPr>
          <w:rFonts w:ascii="Californian FB" w:eastAsia="Lustria" w:hAnsi="Californian FB" w:cs="Lustria"/>
          <w:color w:val="000000"/>
        </w:rPr>
        <w:t>per andare alla scoperta delle produzioni vitivinicole, accompagnati dall’ottima gastronomia locale e musica di qualità”.</w:t>
      </w:r>
    </w:p>
    <w:p w:rsidR="00EE6979" w:rsidRPr="000E1A45" w:rsidRDefault="000E1A45" w:rsidP="000E1A45">
      <w:pPr>
        <w:pStyle w:val="Normale1"/>
        <w:spacing w:after="120"/>
        <w:rPr>
          <w:rFonts w:ascii="Californian FB" w:eastAsia="Lustria" w:hAnsi="Californian FB" w:cs="Lustria"/>
          <w:color w:val="000000"/>
        </w:rPr>
      </w:pPr>
      <w:r>
        <w:rPr>
          <w:rFonts w:ascii="Californian FB" w:eastAsia="Lustria" w:hAnsi="Californian FB" w:cs="Lustria"/>
          <w:color w:val="000000"/>
        </w:rPr>
        <w:t xml:space="preserve">Ad aprire la rassegna giovedì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1° giugno </w:t>
      </w:r>
      <w:r>
        <w:rPr>
          <w:rFonts w:ascii="Californian FB" w:eastAsia="Lustria" w:hAnsi="Californian FB" w:cs="Lustria"/>
          <w:color w:val="000000"/>
        </w:rPr>
        <w:t xml:space="preserve">sarà </w:t>
      </w:r>
      <w:r w:rsidR="00006F6D" w:rsidRPr="000E1A45">
        <w:rPr>
          <w:rFonts w:ascii="Californian FB" w:eastAsia="Lustria" w:hAnsi="Californian FB" w:cs="Lustria"/>
          <w:color w:val="000000"/>
        </w:rPr>
        <w:t>la Cantina Paltrinieri</w:t>
      </w:r>
      <w:r>
        <w:rPr>
          <w:rFonts w:ascii="Californian FB" w:eastAsia="Lustria" w:hAnsi="Californian FB" w:cs="Lustria"/>
          <w:color w:val="000000"/>
        </w:rPr>
        <w:t xml:space="preserve">, martedì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6 giugno </w:t>
      </w:r>
      <w:r>
        <w:rPr>
          <w:rFonts w:ascii="Californian FB" w:eastAsia="Lustria" w:hAnsi="Californian FB" w:cs="Lustria"/>
          <w:color w:val="000000"/>
        </w:rPr>
        <w:t xml:space="preserve">Rosso Rubino farà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tappa </w:t>
      </w:r>
      <w:r>
        <w:rPr>
          <w:rFonts w:ascii="Californian FB" w:eastAsia="Lustria" w:hAnsi="Californian FB" w:cs="Lustria"/>
          <w:color w:val="000000"/>
        </w:rPr>
        <w:t>al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la Cantina </w:t>
      </w:r>
      <w:r>
        <w:rPr>
          <w:rFonts w:ascii="Californian FB" w:eastAsia="Lustria" w:hAnsi="Californian FB" w:cs="Lustria"/>
          <w:color w:val="000000"/>
        </w:rPr>
        <w:t xml:space="preserve">di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Carpi </w:t>
      </w:r>
      <w:r w:rsidR="004F0E57">
        <w:rPr>
          <w:rFonts w:ascii="Californian FB" w:eastAsia="Lustria" w:hAnsi="Californian FB" w:cs="Lustria"/>
          <w:color w:val="000000"/>
        </w:rPr>
        <w:t xml:space="preserve">e Sorbara, </w:t>
      </w:r>
      <w:r>
        <w:rPr>
          <w:rFonts w:ascii="Californian FB" w:eastAsia="Lustria" w:hAnsi="Californian FB" w:cs="Lustria"/>
          <w:color w:val="000000"/>
        </w:rPr>
        <w:t xml:space="preserve">poi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il 14 giugno serata </w:t>
      </w:r>
      <w:r w:rsidR="004F0E57">
        <w:rPr>
          <w:rFonts w:ascii="Californian FB" w:eastAsia="Lustria" w:hAnsi="Californian FB" w:cs="Lustria"/>
          <w:color w:val="000000"/>
        </w:rPr>
        <w:t xml:space="preserve">presso la </w:t>
      </w:r>
      <w:r w:rsidR="00006F6D" w:rsidRPr="000E1A45">
        <w:rPr>
          <w:rFonts w:ascii="Californian FB" w:eastAsia="Lustria" w:hAnsi="Californian FB" w:cs="Lustria"/>
          <w:color w:val="000000"/>
        </w:rPr>
        <w:t>Cantina Divinja</w:t>
      </w:r>
      <w:r w:rsidR="004F0E57">
        <w:rPr>
          <w:rFonts w:ascii="Californian FB" w:eastAsia="Lustria" w:hAnsi="Californian FB" w:cs="Lustria"/>
          <w:color w:val="000000"/>
        </w:rPr>
        <w:t xml:space="preserve">, la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Foresteria Cavicchioli sarà protagonista della serata del 18 giugno, mentre il 20 </w:t>
      </w:r>
      <w:r w:rsidR="004F0E57">
        <w:rPr>
          <w:rFonts w:ascii="Californian FB" w:eastAsia="Lustria" w:hAnsi="Californian FB" w:cs="Lustria"/>
          <w:color w:val="000000"/>
        </w:rPr>
        <w:t xml:space="preserve">giugno sarà il turno della Cantina Della Volta e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giovedì 22 giugno </w:t>
      </w:r>
      <w:r w:rsidR="004F0E57">
        <w:rPr>
          <w:rFonts w:ascii="Californian FB" w:eastAsia="Lustria" w:hAnsi="Californian FB" w:cs="Lustria"/>
          <w:color w:val="000000"/>
        </w:rPr>
        <w:t xml:space="preserve">ad ospitare l’evento sarà la </w:t>
      </w:r>
      <w:r w:rsidR="00006F6D" w:rsidRPr="000E1A45">
        <w:rPr>
          <w:rFonts w:ascii="Californian FB" w:eastAsia="Lustria" w:hAnsi="Californian FB" w:cs="Lustria"/>
          <w:color w:val="000000"/>
        </w:rPr>
        <w:t>Cantina Garuti</w:t>
      </w:r>
      <w:r w:rsidR="004F0E57">
        <w:rPr>
          <w:rFonts w:ascii="Californian FB" w:eastAsia="Lustria" w:hAnsi="Californian FB" w:cs="Lustria"/>
          <w:color w:val="000000"/>
        </w:rPr>
        <w:t xml:space="preserve">.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La settima </w:t>
      </w:r>
      <w:r w:rsidR="00B761FC">
        <w:rPr>
          <w:rFonts w:ascii="Californian FB" w:eastAsia="Lustria" w:hAnsi="Californian FB" w:cs="Lustria"/>
          <w:color w:val="000000"/>
        </w:rPr>
        <w:t xml:space="preserve">e ultima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serata, </w:t>
      </w:r>
      <w:r w:rsidR="00B761FC">
        <w:rPr>
          <w:rFonts w:ascii="Californian FB" w:eastAsia="Lustria" w:hAnsi="Californian FB" w:cs="Lustria"/>
          <w:color w:val="000000"/>
        </w:rPr>
        <w:t xml:space="preserve">promossa in collaborazione con CNA,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è </w:t>
      </w:r>
      <w:r w:rsidR="004F0E57">
        <w:rPr>
          <w:rFonts w:ascii="Californian FB" w:eastAsia="Lustria" w:hAnsi="Californian FB" w:cs="Lustria"/>
          <w:color w:val="000000"/>
        </w:rPr>
        <w:t xml:space="preserve">in calendario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per martedì 28 giugno </w:t>
      </w:r>
      <w:r w:rsidR="00B24917">
        <w:rPr>
          <w:rFonts w:ascii="Californian FB" w:eastAsia="Lustria" w:hAnsi="Californian FB" w:cs="Lustria"/>
          <w:color w:val="000000"/>
        </w:rPr>
        <w:t xml:space="preserve">nella sede della Monari Federzoni a Solara, dove saranno </w:t>
      </w:r>
      <w:r w:rsidR="004F0E57">
        <w:rPr>
          <w:rFonts w:ascii="Californian FB" w:eastAsia="Lustria" w:hAnsi="Californian FB" w:cs="Lustria"/>
          <w:color w:val="000000"/>
        </w:rPr>
        <w:t xml:space="preserve">presenti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tutte le cantine protagoniste dell’evento e durante la quale gli ospiti potranno </w:t>
      </w:r>
      <w:r w:rsidR="00F90391">
        <w:rPr>
          <w:rFonts w:ascii="Californian FB" w:eastAsia="Lustria" w:hAnsi="Californian FB" w:cs="Lustria"/>
          <w:color w:val="000000"/>
        </w:rPr>
        <w:t xml:space="preserve">assaggiare </w:t>
      </w:r>
      <w:r w:rsidR="00006F6D" w:rsidRPr="000E1A45">
        <w:rPr>
          <w:rFonts w:ascii="Californian FB" w:eastAsia="Lustria" w:hAnsi="Californian FB" w:cs="Lustria"/>
          <w:color w:val="000000"/>
        </w:rPr>
        <w:t xml:space="preserve">le specialità preparate </w:t>
      </w:r>
      <w:r w:rsidR="004F0E57">
        <w:rPr>
          <w:rFonts w:ascii="Californian FB" w:eastAsia="Lustria" w:hAnsi="Californian FB" w:cs="Lustria"/>
          <w:color w:val="000000"/>
        </w:rPr>
        <w:t xml:space="preserve">dagli chef </w:t>
      </w:r>
      <w:r w:rsidR="000D5EA1">
        <w:rPr>
          <w:rFonts w:ascii="Californian FB" w:eastAsia="Lustria" w:hAnsi="Californian FB" w:cs="Lustria"/>
          <w:color w:val="000000"/>
        </w:rPr>
        <w:lastRenderedPageBreak/>
        <w:t>emiliano-romagnoli</w:t>
      </w:r>
      <w:r w:rsidR="00B761FC">
        <w:rPr>
          <w:rFonts w:ascii="Californian FB" w:eastAsia="Lustria" w:hAnsi="Californian FB" w:cs="Lustria"/>
          <w:color w:val="000000"/>
        </w:rPr>
        <w:t xml:space="preserve"> Paolo Reggiani (Ristorante I Laghi)</w:t>
      </w:r>
      <w:r w:rsidR="000D5EA1">
        <w:rPr>
          <w:rFonts w:ascii="Californian FB" w:eastAsia="Lustria" w:hAnsi="Californian FB" w:cs="Lustria"/>
          <w:color w:val="000000"/>
        </w:rPr>
        <w:t xml:space="preserve">, </w:t>
      </w:r>
      <w:r w:rsidR="00B761FC">
        <w:rPr>
          <w:rFonts w:ascii="Californian FB" w:eastAsia="Lustria" w:hAnsi="Californian FB" w:cs="Lustria"/>
          <w:color w:val="000000"/>
        </w:rPr>
        <w:t xml:space="preserve">Alberto Bettini (Ristorante Amerigo), Francesco Rompianesi (Modena Food Lab), Elisa Casumaro (Azienda Casumaro) e Shota Mitamura (Balsamico e Cucina di Monari Federzoni), </w:t>
      </w:r>
      <w:r w:rsidR="000D5EA1">
        <w:rPr>
          <w:rFonts w:ascii="Californian FB" w:eastAsia="Lustria" w:hAnsi="Californian FB" w:cs="Lustria"/>
          <w:color w:val="000000"/>
        </w:rPr>
        <w:t xml:space="preserve">coordinati da Giovanni Cuocci </w:t>
      </w:r>
      <w:r w:rsidR="00006F6D" w:rsidRPr="000E1A45">
        <w:rPr>
          <w:rFonts w:ascii="Californian FB" w:eastAsia="Lustria" w:hAnsi="Californian FB" w:cs="Lustria"/>
          <w:color w:val="000000"/>
        </w:rPr>
        <w:t>de “La lanterna di Diogene”.</w:t>
      </w:r>
    </w:p>
    <w:p w:rsidR="00EE6979" w:rsidRPr="000E1A45" w:rsidRDefault="00006F6D" w:rsidP="000E1A45">
      <w:pPr>
        <w:pStyle w:val="Normale1"/>
        <w:spacing w:after="120"/>
        <w:rPr>
          <w:rFonts w:ascii="Californian FB" w:eastAsia="Lustria" w:hAnsi="Californian FB" w:cs="Lustria"/>
        </w:rPr>
      </w:pPr>
      <w:r w:rsidRPr="000E1A45">
        <w:rPr>
          <w:rFonts w:ascii="Californian FB" w:eastAsia="Lustria" w:hAnsi="Californian FB" w:cs="Lustria"/>
          <w:color w:val="000000"/>
        </w:rPr>
        <w:t>Le serate del 1° giugno</w:t>
      </w:r>
      <w:r w:rsidR="004C635B">
        <w:rPr>
          <w:rFonts w:ascii="Californian FB" w:eastAsia="Lustria" w:hAnsi="Californian FB" w:cs="Lustria"/>
          <w:color w:val="000000"/>
        </w:rPr>
        <w:t xml:space="preserve"> (ore 21)</w:t>
      </w:r>
      <w:r w:rsidRPr="000E1A45">
        <w:rPr>
          <w:rFonts w:ascii="Californian FB" w:eastAsia="Lustria" w:hAnsi="Californian FB" w:cs="Lustria"/>
          <w:color w:val="000000"/>
        </w:rPr>
        <w:t>, del 18</w:t>
      </w:r>
      <w:r w:rsidR="004C635B">
        <w:rPr>
          <w:rFonts w:ascii="Californian FB" w:eastAsia="Lustria" w:hAnsi="Californian FB" w:cs="Lustria"/>
          <w:color w:val="000000"/>
        </w:rPr>
        <w:t xml:space="preserve"> (ore 18.30)</w:t>
      </w:r>
      <w:r w:rsidRPr="000E1A45">
        <w:rPr>
          <w:rFonts w:ascii="Californian FB" w:eastAsia="Lustria" w:hAnsi="Californian FB" w:cs="Lustria"/>
          <w:color w:val="000000"/>
        </w:rPr>
        <w:t>, del 20</w:t>
      </w:r>
      <w:r w:rsidR="00200A00">
        <w:rPr>
          <w:rFonts w:ascii="Californian FB" w:eastAsia="Lustria" w:hAnsi="Californian FB" w:cs="Lustria"/>
          <w:color w:val="000000"/>
        </w:rPr>
        <w:t xml:space="preserve"> (ore 20.30)</w:t>
      </w:r>
      <w:r w:rsidRPr="000E1A45">
        <w:rPr>
          <w:rFonts w:ascii="Californian FB" w:eastAsia="Lustria" w:hAnsi="Californian FB" w:cs="Lustria"/>
          <w:color w:val="000000"/>
        </w:rPr>
        <w:t xml:space="preserve">, del 22 </w:t>
      </w:r>
      <w:r w:rsidR="00200A00">
        <w:rPr>
          <w:rFonts w:ascii="Californian FB" w:eastAsia="Lustria" w:hAnsi="Californian FB" w:cs="Lustria"/>
          <w:color w:val="000000"/>
        </w:rPr>
        <w:t xml:space="preserve">(ore 20) </w:t>
      </w:r>
      <w:r w:rsidRPr="000E1A45">
        <w:rPr>
          <w:rFonts w:ascii="Californian FB" w:eastAsia="Lustria" w:hAnsi="Californian FB" w:cs="Lustria"/>
          <w:color w:val="000000"/>
        </w:rPr>
        <w:t xml:space="preserve">e del 28 sono a prenotazione obbligatoria; ingresso libero per la serata </w:t>
      </w:r>
      <w:r w:rsidR="00200A00">
        <w:rPr>
          <w:rFonts w:ascii="Californian FB" w:eastAsia="Lustria" w:hAnsi="Californian FB" w:cs="Lustria"/>
          <w:color w:val="000000"/>
        </w:rPr>
        <w:t xml:space="preserve">alla </w:t>
      </w:r>
      <w:r w:rsidRPr="000E1A45">
        <w:rPr>
          <w:rFonts w:ascii="Californian FB" w:eastAsia="Lustria" w:hAnsi="Californian FB" w:cs="Lustria"/>
          <w:color w:val="000000"/>
        </w:rPr>
        <w:t xml:space="preserve">Cantina </w:t>
      </w:r>
      <w:r w:rsidR="00200A00">
        <w:rPr>
          <w:rFonts w:ascii="Californian FB" w:eastAsia="Lustria" w:hAnsi="Californian FB" w:cs="Lustria"/>
          <w:color w:val="000000"/>
        </w:rPr>
        <w:t xml:space="preserve">di </w:t>
      </w:r>
      <w:r w:rsidRPr="000E1A45">
        <w:rPr>
          <w:rFonts w:ascii="Californian FB" w:eastAsia="Lustria" w:hAnsi="Californian FB" w:cs="Lustria"/>
          <w:color w:val="000000"/>
        </w:rPr>
        <w:t xml:space="preserve">Carpi </w:t>
      </w:r>
      <w:r w:rsidR="00200A00">
        <w:rPr>
          <w:rFonts w:ascii="Californian FB" w:eastAsia="Lustria" w:hAnsi="Californian FB" w:cs="Lustria"/>
          <w:color w:val="000000"/>
        </w:rPr>
        <w:t xml:space="preserve">e </w:t>
      </w:r>
      <w:r w:rsidRPr="000E1A45">
        <w:rPr>
          <w:rFonts w:ascii="Californian FB" w:eastAsia="Lustria" w:hAnsi="Californian FB" w:cs="Lustria"/>
          <w:color w:val="000000"/>
        </w:rPr>
        <w:t>Sorbara di martedì 6 giugno</w:t>
      </w:r>
      <w:r w:rsidR="00200A00">
        <w:rPr>
          <w:rFonts w:ascii="Californian FB" w:eastAsia="Lustria" w:hAnsi="Californian FB" w:cs="Lustria"/>
          <w:color w:val="000000"/>
        </w:rPr>
        <w:t xml:space="preserve"> (ore 19)</w:t>
      </w:r>
      <w:r w:rsidRPr="000E1A45">
        <w:rPr>
          <w:rFonts w:ascii="Californian FB" w:eastAsia="Lustria" w:hAnsi="Californian FB" w:cs="Lustria"/>
          <w:color w:val="000000"/>
        </w:rPr>
        <w:t xml:space="preserve">, mentre è consigliata la prenotazione per la serata di mercoledì 14 giugno </w:t>
      </w:r>
      <w:r w:rsidR="00200A00">
        <w:rPr>
          <w:rFonts w:ascii="Californian FB" w:eastAsia="Lustria" w:hAnsi="Californian FB" w:cs="Lustria"/>
          <w:color w:val="000000"/>
        </w:rPr>
        <w:t xml:space="preserve">alla </w:t>
      </w:r>
      <w:r w:rsidRPr="000E1A45">
        <w:rPr>
          <w:rFonts w:ascii="Californian FB" w:eastAsia="Lustria" w:hAnsi="Californian FB" w:cs="Lustria"/>
          <w:color w:val="000000"/>
        </w:rPr>
        <w:t>Cantina Divinja</w:t>
      </w:r>
      <w:r w:rsidR="00200A00">
        <w:rPr>
          <w:rFonts w:ascii="Californian FB" w:eastAsia="Lustria" w:hAnsi="Californian FB" w:cs="Lustria"/>
          <w:color w:val="000000"/>
        </w:rPr>
        <w:t xml:space="preserve"> (ore 19)</w:t>
      </w:r>
      <w:r w:rsidRPr="000E1A45">
        <w:rPr>
          <w:rFonts w:ascii="Californian FB" w:eastAsia="Lustria" w:hAnsi="Californian FB" w:cs="Lustria"/>
          <w:color w:val="000000"/>
        </w:rPr>
        <w:t>.</w:t>
      </w:r>
    </w:p>
    <w:sectPr w:rsidR="00EE6979" w:rsidRPr="000E1A45" w:rsidSect="00EE6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61" w:rsidRDefault="00744661" w:rsidP="00EE6979">
      <w:r>
        <w:separator/>
      </w:r>
    </w:p>
  </w:endnote>
  <w:endnote w:type="continuationSeparator" w:id="1">
    <w:p w:rsidR="00744661" w:rsidRDefault="00744661" w:rsidP="00EE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stri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61" w:rsidRDefault="00744661" w:rsidP="00EE6979">
      <w:r>
        <w:separator/>
      </w:r>
    </w:p>
  </w:footnote>
  <w:footnote w:type="continuationSeparator" w:id="1">
    <w:p w:rsidR="00744661" w:rsidRDefault="00744661" w:rsidP="00EE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isplayBackgroundShape/>
  <w:defaultTabStop w:val="720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E6979"/>
    <w:rsid w:val="00006F6D"/>
    <w:rsid w:val="000369A8"/>
    <w:rsid w:val="000D5EA1"/>
    <w:rsid w:val="000E1A45"/>
    <w:rsid w:val="000E4DE0"/>
    <w:rsid w:val="00200A00"/>
    <w:rsid w:val="00285D81"/>
    <w:rsid w:val="002D024C"/>
    <w:rsid w:val="0044202E"/>
    <w:rsid w:val="004C635B"/>
    <w:rsid w:val="004F0E57"/>
    <w:rsid w:val="007041CC"/>
    <w:rsid w:val="00736918"/>
    <w:rsid w:val="00744661"/>
    <w:rsid w:val="0079121B"/>
    <w:rsid w:val="008D2DE7"/>
    <w:rsid w:val="009F3579"/>
    <w:rsid w:val="00B120EA"/>
    <w:rsid w:val="00B24917"/>
    <w:rsid w:val="00B761FC"/>
    <w:rsid w:val="00BF3FB0"/>
    <w:rsid w:val="00C1510B"/>
    <w:rsid w:val="00C91EB7"/>
    <w:rsid w:val="00DB57B0"/>
    <w:rsid w:val="00DB57CA"/>
    <w:rsid w:val="00EB0135"/>
    <w:rsid w:val="00EE6979"/>
    <w:rsid w:val="00F9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="Cambria Math" w:hAnsi="Cambria Math" w:cs="Cambria Math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7B0"/>
  </w:style>
  <w:style w:type="paragraph" w:styleId="Titolo1">
    <w:name w:val="heading 1"/>
    <w:basedOn w:val="Normale1"/>
    <w:next w:val="Normale1"/>
    <w:rsid w:val="00EE69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E69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E69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E697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E69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E69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E6979"/>
  </w:style>
  <w:style w:type="table" w:customStyle="1" w:styleId="TableNormal">
    <w:name w:val="Table Normal"/>
    <w:rsid w:val="00EE69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E697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E69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E69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E69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A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Luca Beltrami</cp:lastModifiedBy>
  <cp:revision>15</cp:revision>
  <dcterms:created xsi:type="dcterms:W3CDTF">2023-05-22T09:11:00Z</dcterms:created>
  <dcterms:modified xsi:type="dcterms:W3CDTF">2023-05-25T11:42:00Z</dcterms:modified>
</cp:coreProperties>
</file>